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F9" w:rsidRPr="006667C2" w:rsidRDefault="001B6610" w:rsidP="006667C2">
      <w:pPr>
        <w:pStyle w:val="Default"/>
        <w:ind w:left="1134" w:right="-1"/>
        <w:jc w:val="center"/>
        <w:rPr>
          <w:b/>
          <w:bCs/>
          <w:color w:val="auto"/>
        </w:rPr>
      </w:pPr>
      <w:r w:rsidRPr="006667C2">
        <w:rPr>
          <w:b/>
          <w:bCs/>
          <w:color w:val="auto"/>
        </w:rPr>
        <w:t>GRANJA WERNECK S.A.</w:t>
      </w:r>
    </w:p>
    <w:p w:rsidR="000C13F9" w:rsidRPr="006667C2" w:rsidRDefault="001B6610" w:rsidP="006667C2">
      <w:pPr>
        <w:pStyle w:val="Default"/>
        <w:ind w:left="1134" w:right="-1"/>
        <w:jc w:val="center"/>
        <w:rPr>
          <w:b/>
          <w:bCs/>
          <w:color w:val="auto"/>
        </w:rPr>
      </w:pPr>
      <w:r w:rsidRPr="006667C2">
        <w:rPr>
          <w:b/>
          <w:bCs/>
          <w:color w:val="auto"/>
        </w:rPr>
        <w:t>CNPJ/MF 17.270.901/0001-04</w:t>
      </w:r>
    </w:p>
    <w:p w:rsidR="000C13F9" w:rsidRPr="006667C2" w:rsidRDefault="001B6610" w:rsidP="006667C2">
      <w:pPr>
        <w:pStyle w:val="Default"/>
        <w:ind w:left="1134" w:right="-1"/>
        <w:jc w:val="center"/>
        <w:rPr>
          <w:b/>
          <w:bCs/>
          <w:color w:val="auto"/>
        </w:rPr>
      </w:pPr>
      <w:r w:rsidRPr="006667C2">
        <w:rPr>
          <w:b/>
          <w:bCs/>
          <w:color w:val="auto"/>
        </w:rPr>
        <w:t>NIRE 3130003698-7</w:t>
      </w:r>
    </w:p>
    <w:p w:rsidR="00B20284" w:rsidRPr="006667C2" w:rsidRDefault="00B20284" w:rsidP="006667C2">
      <w:pPr>
        <w:pStyle w:val="Default"/>
        <w:ind w:left="1134" w:right="-1"/>
        <w:jc w:val="center"/>
        <w:rPr>
          <w:b/>
          <w:bCs/>
          <w:color w:val="auto"/>
        </w:rPr>
      </w:pPr>
    </w:p>
    <w:p w:rsidR="000C13F9" w:rsidRPr="006667C2" w:rsidRDefault="001B6610" w:rsidP="006667C2">
      <w:pPr>
        <w:pStyle w:val="Default"/>
        <w:ind w:left="1134" w:right="-1"/>
        <w:jc w:val="center"/>
        <w:rPr>
          <w:b/>
          <w:bCs/>
          <w:color w:val="auto"/>
        </w:rPr>
      </w:pPr>
      <w:r w:rsidRPr="006667C2">
        <w:rPr>
          <w:b/>
          <w:bCs/>
          <w:color w:val="auto"/>
        </w:rPr>
        <w:t>AVISO AOS ACIONISTAS</w:t>
      </w:r>
    </w:p>
    <w:p w:rsidR="00B20284" w:rsidRPr="006667C2" w:rsidRDefault="00B20284" w:rsidP="006667C2">
      <w:pPr>
        <w:pStyle w:val="Default"/>
        <w:ind w:left="1134" w:right="-1"/>
        <w:jc w:val="center"/>
        <w:rPr>
          <w:bCs/>
          <w:color w:val="auto"/>
        </w:rPr>
      </w:pPr>
    </w:p>
    <w:p w:rsidR="00BA43C4" w:rsidRDefault="001B6610" w:rsidP="006667C2">
      <w:pPr>
        <w:pStyle w:val="Default"/>
        <w:ind w:left="1134" w:right="-1"/>
        <w:jc w:val="both"/>
        <w:rPr>
          <w:color w:val="auto"/>
        </w:rPr>
      </w:pPr>
      <w:r w:rsidRPr="006667C2">
        <w:rPr>
          <w:color w:val="auto"/>
        </w:rPr>
        <w:t>A Granja Werneck S.A. (“GWSA” ou “Companhia”) vem in</w:t>
      </w:r>
      <w:r w:rsidR="00BA43C4">
        <w:rPr>
          <w:color w:val="auto"/>
        </w:rPr>
        <w:t>formar aos seus acionistas que:</w:t>
      </w:r>
    </w:p>
    <w:p w:rsidR="00BA43C4" w:rsidRDefault="00BA43C4" w:rsidP="006667C2">
      <w:pPr>
        <w:pStyle w:val="Default"/>
        <w:ind w:left="1134" w:right="-1"/>
        <w:jc w:val="both"/>
        <w:rPr>
          <w:color w:val="auto"/>
        </w:rPr>
      </w:pPr>
    </w:p>
    <w:p w:rsidR="006667C2" w:rsidRPr="006667C2" w:rsidRDefault="001B6610" w:rsidP="006667C2">
      <w:pPr>
        <w:pStyle w:val="Default"/>
        <w:ind w:left="1134" w:right="-1"/>
        <w:jc w:val="both"/>
        <w:rPr>
          <w:color w:val="auto"/>
        </w:rPr>
      </w:pPr>
      <w:r w:rsidRPr="006667C2">
        <w:rPr>
          <w:color w:val="auto"/>
        </w:rPr>
        <w:t xml:space="preserve">Na Assembleia Geral Ordinária e Extraordinária realizada no dia 8 de setembro de 2022, foi aprovada proposta de aumento do capital social da Companhia. O valor total do aumento é de R$333.805,50, mediante a emissão de 95.373 novas ações ordinárias nominativas e sem valor nominal, ao preço de emissão de R$ 3,50 por ação, que, se integralmente subscritas, farão com que o capital social da Companhia passe a ser de </w:t>
      </w:r>
      <w:proofErr w:type="gramStart"/>
      <w:r w:rsidRPr="006667C2">
        <w:rPr>
          <w:color w:val="auto"/>
        </w:rPr>
        <w:t>R$4.369.844,85 (quatro milhões trezentos e sessenta e nove mil e oitocentas quarenta e quatro reais e oitenta e cinco centavos), dividido</w:t>
      </w:r>
      <w:proofErr w:type="gramEnd"/>
      <w:r w:rsidRPr="006667C2">
        <w:rPr>
          <w:color w:val="auto"/>
        </w:rPr>
        <w:t xml:space="preserve"> em 4.798.648 ações ordinárias, nominativas, escriturais e sem valor </w:t>
      </w:r>
      <w:r w:rsidR="006667C2" w:rsidRPr="006667C2">
        <w:rPr>
          <w:color w:val="auto"/>
        </w:rPr>
        <w:t>nominal (“Aumento de Capital”).</w:t>
      </w:r>
    </w:p>
    <w:p w:rsidR="006667C2" w:rsidRPr="006667C2" w:rsidRDefault="006667C2" w:rsidP="006667C2">
      <w:pPr>
        <w:pStyle w:val="Default"/>
        <w:ind w:left="1134" w:right="-1"/>
        <w:jc w:val="both"/>
        <w:rPr>
          <w:color w:val="auto"/>
        </w:rPr>
      </w:pPr>
    </w:p>
    <w:p w:rsidR="006667C2" w:rsidRPr="006667C2" w:rsidRDefault="001B6610" w:rsidP="006667C2">
      <w:pPr>
        <w:pStyle w:val="Default"/>
        <w:ind w:left="1134" w:right="-1"/>
        <w:jc w:val="both"/>
        <w:rPr>
          <w:bCs/>
          <w:color w:val="auto"/>
        </w:rPr>
      </w:pPr>
      <w:r w:rsidRPr="006667C2">
        <w:rPr>
          <w:b/>
          <w:bCs/>
          <w:color w:val="auto"/>
        </w:rPr>
        <w:t>(i)</w:t>
      </w:r>
      <w:r w:rsidRPr="006667C2">
        <w:rPr>
          <w:bCs/>
          <w:color w:val="auto"/>
        </w:rPr>
        <w:t xml:space="preserve"> </w:t>
      </w:r>
      <w:r w:rsidRPr="006667C2">
        <w:rPr>
          <w:b/>
          <w:bCs/>
          <w:color w:val="auto"/>
        </w:rPr>
        <w:t>Exercício do Direito de Prefer</w:t>
      </w:r>
      <w:r w:rsidR="006667C2" w:rsidRPr="006667C2">
        <w:rPr>
          <w:b/>
          <w:bCs/>
          <w:color w:val="auto"/>
        </w:rPr>
        <w:t>ência e da Subscrição de Sobras</w:t>
      </w:r>
    </w:p>
    <w:p w:rsidR="006667C2" w:rsidRPr="006667C2" w:rsidRDefault="001B6610" w:rsidP="006667C2">
      <w:pPr>
        <w:pStyle w:val="Default"/>
        <w:ind w:left="1134" w:right="-1"/>
        <w:jc w:val="both"/>
        <w:rPr>
          <w:color w:val="auto"/>
        </w:rPr>
      </w:pPr>
      <w:r w:rsidRPr="006667C2">
        <w:rPr>
          <w:color w:val="auto"/>
        </w:rPr>
        <w:t xml:space="preserve">Em cumprimento ao artigo 171 da Lei nº 6.404/76, será assegurado aos acionistas da Companhia o direito de preferência para subscrever as novas ações emitidas em decorrência do Aumento de Capital, bem como o direito de concorrer no rateio das eventuais sobras, na proporção da participação de cada um desses acionistas no capital social da Companhia, excluída a participação dos acionistas que não manifestarem interesse na subscrição das sobras ou no exercício do direito de preferência, observado o seguinte procedimento. Os acionistas da GWSA terão direito de preferência para subscrever novas ações, na proporção do número de ações que detinham, no dia 8 de setembro de 2022, devendo fazê-lo até o dia </w:t>
      </w:r>
      <w:r w:rsidR="00B90AD4" w:rsidRPr="00B90AD4">
        <w:rPr>
          <w:color w:val="auto"/>
        </w:rPr>
        <w:t>17</w:t>
      </w:r>
      <w:r w:rsidRPr="00B90AD4">
        <w:rPr>
          <w:color w:val="auto"/>
        </w:rPr>
        <w:t xml:space="preserve"> de </w:t>
      </w:r>
      <w:r w:rsidR="00B90AD4" w:rsidRPr="00B90AD4">
        <w:rPr>
          <w:color w:val="auto"/>
        </w:rPr>
        <w:t>novem</w:t>
      </w:r>
      <w:r w:rsidRPr="00B90AD4">
        <w:rPr>
          <w:color w:val="auto"/>
        </w:rPr>
        <w:t>bro de 2022</w:t>
      </w:r>
      <w:bookmarkStart w:id="0" w:name="_GoBack"/>
      <w:bookmarkEnd w:id="0"/>
      <w:r w:rsidRPr="006667C2">
        <w:rPr>
          <w:color w:val="auto"/>
        </w:rPr>
        <w:t>. Cada uma das ações da GWSA dará a seu detentor o direito a subscrever 0,02027799777 ações no aumento de capital. As frações de ações resultantes do exercício do direito de preferência na subscrição do Aumento de Capital proposto serão arredondadas para cima, para o número inteiro mais próximo, se a fração resultante for igual ou superior a 0,5 de ação; ou para baixo, para o número inteiro mais próximo, se a fração resultante for</w:t>
      </w:r>
      <w:r w:rsidR="006667C2" w:rsidRPr="006667C2">
        <w:rPr>
          <w:color w:val="auto"/>
        </w:rPr>
        <w:t xml:space="preserve"> inferior a 0,5 de ação.</w:t>
      </w:r>
    </w:p>
    <w:p w:rsidR="006667C2" w:rsidRPr="006667C2" w:rsidRDefault="006667C2" w:rsidP="006667C2">
      <w:pPr>
        <w:pStyle w:val="Default"/>
        <w:ind w:left="1134" w:right="-1"/>
        <w:jc w:val="both"/>
        <w:rPr>
          <w:bCs/>
          <w:color w:val="auto"/>
        </w:rPr>
      </w:pPr>
    </w:p>
    <w:p w:rsidR="006667C2" w:rsidRPr="006667C2" w:rsidRDefault="006667C2" w:rsidP="006667C2">
      <w:pPr>
        <w:pStyle w:val="Default"/>
        <w:ind w:left="1134" w:right="-1"/>
        <w:jc w:val="both"/>
        <w:rPr>
          <w:bCs/>
          <w:color w:val="auto"/>
        </w:rPr>
      </w:pPr>
      <w:r w:rsidRPr="006667C2">
        <w:rPr>
          <w:b/>
          <w:bCs/>
          <w:color w:val="auto"/>
        </w:rPr>
        <w:t>(</w:t>
      </w:r>
      <w:proofErr w:type="spellStart"/>
      <w:r w:rsidRPr="006667C2">
        <w:rPr>
          <w:b/>
          <w:bCs/>
          <w:color w:val="auto"/>
        </w:rPr>
        <w:t>ii</w:t>
      </w:r>
      <w:proofErr w:type="spellEnd"/>
      <w:r w:rsidRPr="006667C2">
        <w:rPr>
          <w:b/>
          <w:bCs/>
          <w:color w:val="auto"/>
        </w:rPr>
        <w:t>)</w:t>
      </w:r>
      <w:r w:rsidRPr="006667C2">
        <w:rPr>
          <w:bCs/>
          <w:color w:val="auto"/>
        </w:rPr>
        <w:t xml:space="preserve"> </w:t>
      </w:r>
      <w:r w:rsidRPr="006667C2">
        <w:rPr>
          <w:b/>
          <w:bCs/>
          <w:color w:val="auto"/>
        </w:rPr>
        <w:t>Forma de pagamento</w:t>
      </w:r>
    </w:p>
    <w:p w:rsidR="006667C2" w:rsidRPr="006667C2" w:rsidRDefault="001B6610" w:rsidP="006667C2">
      <w:pPr>
        <w:pStyle w:val="Default"/>
        <w:ind w:left="1134" w:right="-1"/>
        <w:jc w:val="both"/>
        <w:rPr>
          <w:color w:val="auto"/>
        </w:rPr>
      </w:pPr>
      <w:r w:rsidRPr="006667C2">
        <w:rPr>
          <w:color w:val="auto"/>
        </w:rPr>
        <w:t xml:space="preserve">O acionista que se interessar em subscrever as ações emitidas deverá integralizar o preço total das ações à vista em moeda corrente nacional no ato da subscrição, mediante depósito ou transferência bancária, a crédito da conta corrente número 370500-5, mantida pela Companhia na agência número 0465 do Banco Bradesco (banco número 237). O comprovante de depósito ou da transferência bancária deverá ser enviado à Companhia, juntamente com o respectivo boletim de subscrição devidamente assinado pelo subscritor das novas ações, por meio eletrônico, </w:t>
      </w:r>
      <w:proofErr w:type="spellStart"/>
      <w:r w:rsidRPr="006667C2">
        <w:rPr>
          <w:color w:val="auto"/>
        </w:rPr>
        <w:t>sed</w:t>
      </w:r>
      <w:r w:rsidR="006667C2" w:rsidRPr="006667C2">
        <w:rPr>
          <w:color w:val="auto"/>
        </w:rPr>
        <w:t>ex</w:t>
      </w:r>
      <w:proofErr w:type="spellEnd"/>
      <w:r w:rsidR="006667C2" w:rsidRPr="006667C2">
        <w:rPr>
          <w:color w:val="auto"/>
        </w:rPr>
        <w:t xml:space="preserve"> ou em mãos, mediante recibo.</w:t>
      </w:r>
    </w:p>
    <w:p w:rsidR="006667C2" w:rsidRPr="006667C2" w:rsidRDefault="006667C2" w:rsidP="006667C2">
      <w:pPr>
        <w:pStyle w:val="Default"/>
        <w:ind w:left="1134" w:right="-1"/>
        <w:jc w:val="both"/>
        <w:rPr>
          <w:color w:val="auto"/>
        </w:rPr>
      </w:pPr>
    </w:p>
    <w:p w:rsidR="006667C2" w:rsidRPr="006667C2" w:rsidRDefault="001B6610" w:rsidP="006667C2">
      <w:pPr>
        <w:pStyle w:val="Default"/>
        <w:ind w:left="1134" w:right="-1"/>
        <w:jc w:val="both"/>
        <w:rPr>
          <w:b/>
          <w:bCs/>
          <w:color w:val="auto"/>
        </w:rPr>
      </w:pPr>
      <w:r w:rsidRPr="006667C2">
        <w:rPr>
          <w:b/>
          <w:bCs/>
          <w:color w:val="auto"/>
        </w:rPr>
        <w:t>(</w:t>
      </w:r>
      <w:proofErr w:type="spellStart"/>
      <w:r w:rsidRPr="006667C2">
        <w:rPr>
          <w:b/>
          <w:bCs/>
          <w:color w:val="auto"/>
        </w:rPr>
        <w:t>iii</w:t>
      </w:r>
      <w:proofErr w:type="spellEnd"/>
      <w:r w:rsidRPr="006667C2">
        <w:rPr>
          <w:b/>
          <w:bCs/>
          <w:color w:val="auto"/>
        </w:rPr>
        <w:t>) Pr</w:t>
      </w:r>
      <w:r w:rsidR="006667C2" w:rsidRPr="006667C2">
        <w:rPr>
          <w:b/>
          <w:bCs/>
          <w:color w:val="auto"/>
        </w:rPr>
        <w:t>ocedimentos relativos às sobras</w:t>
      </w:r>
    </w:p>
    <w:p w:rsidR="006667C2" w:rsidRPr="006667C2" w:rsidRDefault="001B6610" w:rsidP="00992727">
      <w:pPr>
        <w:pStyle w:val="Default"/>
        <w:numPr>
          <w:ilvl w:val="0"/>
          <w:numId w:val="5"/>
        </w:numPr>
        <w:ind w:left="1560" w:right="-1" w:hanging="426"/>
        <w:jc w:val="both"/>
        <w:rPr>
          <w:color w:val="auto"/>
        </w:rPr>
      </w:pPr>
      <w:r w:rsidRPr="006667C2">
        <w:rPr>
          <w:color w:val="auto"/>
        </w:rPr>
        <w:t xml:space="preserve">A colocação das ações que não forem subscritas no Prazo para Exercício do Direito de Preferência será feita mediante rateio, na proporção dos valores subscritos, entre os acionistas que tiverem feito constar, no boletim de subscrição, pedido de reserva </w:t>
      </w:r>
      <w:r w:rsidRPr="006667C2">
        <w:rPr>
          <w:color w:val="auto"/>
        </w:rPr>
        <w:lastRenderedPageBreak/>
        <w:t>para subscrição das sobras, em cinco dias úteis, após o fim do Prazo para Exercício do Direito</w:t>
      </w:r>
      <w:r w:rsidR="006667C2" w:rsidRPr="006667C2">
        <w:rPr>
          <w:color w:val="auto"/>
        </w:rPr>
        <w:t xml:space="preserve"> de Preferência;</w:t>
      </w:r>
    </w:p>
    <w:p w:rsidR="006667C2" w:rsidRPr="006667C2" w:rsidRDefault="001B6610" w:rsidP="00992727">
      <w:pPr>
        <w:pStyle w:val="Default"/>
        <w:numPr>
          <w:ilvl w:val="0"/>
          <w:numId w:val="5"/>
        </w:numPr>
        <w:ind w:right="-1" w:hanging="437"/>
        <w:jc w:val="both"/>
        <w:rPr>
          <w:color w:val="auto"/>
        </w:rPr>
      </w:pPr>
      <w:r w:rsidRPr="006667C2">
        <w:rPr>
          <w:color w:val="auto"/>
        </w:rPr>
        <w:t xml:space="preserve">Após o término do prazo para subscrição das sobras, caso ainda persistam sobras de ações, a Companhia não promoverá novos rateios de eventuais sobras (ou sobras de sobras), devendo a diretoria </w:t>
      </w:r>
      <w:proofErr w:type="gramStart"/>
      <w:r w:rsidRPr="006667C2">
        <w:rPr>
          <w:color w:val="auto"/>
        </w:rPr>
        <w:t>homologar</w:t>
      </w:r>
      <w:proofErr w:type="gramEnd"/>
      <w:r w:rsidRPr="006667C2">
        <w:rPr>
          <w:color w:val="auto"/>
        </w:rPr>
        <w:t xml:space="preserve"> parcialmente o aumento de capital, ainda que o montante subscrito não alcance o limite de até R$333.805,50 (trezentos e trinta e três  mil e oitocentos e cinco reais e cinquenta centavos), com a emissão de 95.373 (noventa e cinco mil e trezentas e setenta e três</w:t>
      </w:r>
      <w:r w:rsidR="006667C2" w:rsidRPr="006667C2">
        <w:rPr>
          <w:color w:val="auto"/>
        </w:rPr>
        <w:t xml:space="preserve"> novas ações ordinárias.</w:t>
      </w:r>
    </w:p>
    <w:p w:rsidR="006667C2" w:rsidRPr="006667C2" w:rsidRDefault="006667C2" w:rsidP="00992727">
      <w:pPr>
        <w:pStyle w:val="Default"/>
        <w:ind w:left="1134" w:right="-1"/>
        <w:jc w:val="both"/>
        <w:rPr>
          <w:color w:val="auto"/>
        </w:rPr>
      </w:pPr>
    </w:p>
    <w:p w:rsidR="006667C2" w:rsidRPr="006667C2" w:rsidRDefault="001B6610" w:rsidP="00992727">
      <w:pPr>
        <w:pStyle w:val="Default"/>
        <w:numPr>
          <w:ilvl w:val="0"/>
          <w:numId w:val="5"/>
        </w:numPr>
        <w:ind w:left="1560" w:right="-1" w:hanging="426"/>
        <w:jc w:val="both"/>
        <w:rPr>
          <w:b/>
          <w:bCs/>
          <w:color w:val="auto"/>
        </w:rPr>
      </w:pPr>
      <w:r w:rsidRPr="006667C2">
        <w:rPr>
          <w:b/>
          <w:bCs/>
          <w:color w:val="auto"/>
        </w:rPr>
        <w:t>Direitos das novas ações emitidas no Aumento de Capital</w:t>
      </w:r>
    </w:p>
    <w:p w:rsidR="00B20284" w:rsidRPr="006667C2" w:rsidRDefault="001B6610" w:rsidP="00992727">
      <w:pPr>
        <w:pStyle w:val="Default"/>
        <w:ind w:left="1134" w:right="-1"/>
        <w:jc w:val="both"/>
        <w:rPr>
          <w:color w:val="auto"/>
        </w:rPr>
      </w:pPr>
      <w:r w:rsidRPr="006667C2">
        <w:rPr>
          <w:color w:val="auto"/>
        </w:rPr>
        <w:t>As ações emitidas em função do aumento de capital farão jus aos mesmos direitos das ações emitidas pela GWSA ora em circulação, inclusive recebimento integral de dividendos e/ou juros sobre capital próprio que vierem a ser declarados pela GWSA, independentemente</w:t>
      </w:r>
      <w:r w:rsidR="00B20284" w:rsidRPr="006667C2">
        <w:rPr>
          <w:color w:val="auto"/>
        </w:rPr>
        <w:t xml:space="preserve"> do exercício a que se refiram.</w:t>
      </w:r>
    </w:p>
    <w:p w:rsidR="00B20284" w:rsidRPr="006667C2" w:rsidRDefault="00B20284" w:rsidP="006667C2">
      <w:pPr>
        <w:pStyle w:val="Default"/>
        <w:ind w:left="1134" w:right="-1"/>
        <w:jc w:val="both"/>
        <w:rPr>
          <w:color w:val="auto"/>
        </w:rPr>
      </w:pPr>
    </w:p>
    <w:p w:rsidR="00B20284" w:rsidRPr="006667C2" w:rsidRDefault="001B6610" w:rsidP="006667C2">
      <w:pPr>
        <w:pStyle w:val="Default"/>
        <w:ind w:left="1134" w:right="-1"/>
        <w:jc w:val="center"/>
        <w:rPr>
          <w:color w:val="auto"/>
        </w:rPr>
      </w:pPr>
      <w:r w:rsidRPr="006667C2">
        <w:rPr>
          <w:color w:val="auto"/>
        </w:rPr>
        <w:t xml:space="preserve">Belo Horizonte, </w:t>
      </w:r>
      <w:r w:rsidR="00B90AD4" w:rsidRPr="00B90AD4">
        <w:rPr>
          <w:color w:val="auto"/>
        </w:rPr>
        <w:t>1</w:t>
      </w:r>
      <w:r w:rsidRPr="00B90AD4">
        <w:rPr>
          <w:color w:val="auto"/>
        </w:rPr>
        <w:t xml:space="preserve">8 de </w:t>
      </w:r>
      <w:r w:rsidR="00B90AD4" w:rsidRPr="00B90AD4">
        <w:rPr>
          <w:color w:val="auto"/>
        </w:rPr>
        <w:t>outu</w:t>
      </w:r>
      <w:r w:rsidRPr="00B90AD4">
        <w:rPr>
          <w:color w:val="auto"/>
        </w:rPr>
        <w:t xml:space="preserve">bro de </w:t>
      </w:r>
      <w:proofErr w:type="gramStart"/>
      <w:r w:rsidRPr="00B90AD4">
        <w:rPr>
          <w:color w:val="auto"/>
        </w:rPr>
        <w:t>2022</w:t>
      </w:r>
      <w:proofErr w:type="gramEnd"/>
    </w:p>
    <w:p w:rsidR="00B20284" w:rsidRPr="006667C2" w:rsidRDefault="00B20284" w:rsidP="006667C2">
      <w:pPr>
        <w:pStyle w:val="Default"/>
        <w:ind w:left="1134" w:right="-1"/>
        <w:jc w:val="both"/>
        <w:rPr>
          <w:color w:val="auto"/>
        </w:rPr>
      </w:pPr>
    </w:p>
    <w:p w:rsidR="00B20284" w:rsidRPr="006667C2" w:rsidRDefault="00B20284" w:rsidP="006667C2">
      <w:pPr>
        <w:pStyle w:val="Default"/>
        <w:ind w:left="1134" w:right="-1"/>
        <w:jc w:val="both"/>
        <w:rPr>
          <w:color w:val="auto"/>
        </w:rPr>
      </w:pPr>
    </w:p>
    <w:p w:rsidR="00B20284" w:rsidRPr="006667C2" w:rsidRDefault="00B20284" w:rsidP="006667C2">
      <w:pPr>
        <w:pStyle w:val="Default"/>
        <w:ind w:left="1134" w:right="-1"/>
        <w:jc w:val="both"/>
        <w:rPr>
          <w:color w:val="auto"/>
        </w:rPr>
      </w:pPr>
    </w:p>
    <w:tbl>
      <w:tblPr>
        <w:tblStyle w:val="Tabelacomgrade"/>
        <w:tblW w:w="8505"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110"/>
      </w:tblGrid>
      <w:tr w:rsidR="00B20284" w:rsidRPr="006667C2" w:rsidTr="00BA43C4">
        <w:tc>
          <w:tcPr>
            <w:tcW w:w="4111" w:type="dxa"/>
          </w:tcPr>
          <w:p w:rsidR="00B20284" w:rsidRPr="006667C2" w:rsidRDefault="00B20284" w:rsidP="00BA43C4">
            <w:pPr>
              <w:pStyle w:val="Default"/>
              <w:ind w:left="34" w:right="-1"/>
              <w:jc w:val="center"/>
              <w:rPr>
                <w:color w:val="auto"/>
              </w:rPr>
            </w:pPr>
            <w:r w:rsidRPr="006667C2">
              <w:rPr>
                <w:color w:val="auto"/>
              </w:rPr>
              <w:t>Otávio Azeredo Furquim Werneck</w:t>
            </w:r>
          </w:p>
          <w:p w:rsidR="00B20284" w:rsidRPr="006667C2" w:rsidRDefault="00B20284" w:rsidP="00BA43C4">
            <w:pPr>
              <w:pStyle w:val="Default"/>
              <w:ind w:left="34" w:right="-1"/>
              <w:jc w:val="center"/>
              <w:rPr>
                <w:color w:val="auto"/>
              </w:rPr>
            </w:pPr>
            <w:r w:rsidRPr="006667C2">
              <w:rPr>
                <w:color w:val="auto"/>
              </w:rPr>
              <w:t>Diretor Presidente</w:t>
            </w:r>
          </w:p>
        </w:tc>
        <w:tc>
          <w:tcPr>
            <w:tcW w:w="284" w:type="dxa"/>
          </w:tcPr>
          <w:p w:rsidR="00B20284" w:rsidRPr="006667C2" w:rsidRDefault="00B20284" w:rsidP="006667C2">
            <w:pPr>
              <w:pStyle w:val="Default"/>
              <w:ind w:left="1134" w:right="-1"/>
              <w:jc w:val="center"/>
              <w:rPr>
                <w:color w:val="auto"/>
              </w:rPr>
            </w:pPr>
          </w:p>
        </w:tc>
        <w:tc>
          <w:tcPr>
            <w:tcW w:w="4110" w:type="dxa"/>
          </w:tcPr>
          <w:p w:rsidR="00B20284" w:rsidRPr="006667C2" w:rsidRDefault="00B20284" w:rsidP="00BA43C4">
            <w:pPr>
              <w:pStyle w:val="Default"/>
              <w:ind w:left="33" w:right="-1"/>
              <w:jc w:val="center"/>
              <w:rPr>
                <w:color w:val="auto"/>
              </w:rPr>
            </w:pPr>
            <w:r w:rsidRPr="006667C2">
              <w:rPr>
                <w:color w:val="auto"/>
              </w:rPr>
              <w:t>Acácio Jeferson Vinhas da Silva</w:t>
            </w:r>
          </w:p>
          <w:p w:rsidR="00B20284" w:rsidRPr="006667C2" w:rsidRDefault="00B20284" w:rsidP="00BA43C4">
            <w:pPr>
              <w:pStyle w:val="Default"/>
              <w:ind w:left="33" w:right="-1"/>
              <w:jc w:val="center"/>
              <w:rPr>
                <w:color w:val="auto"/>
              </w:rPr>
            </w:pPr>
            <w:r w:rsidRPr="006667C2">
              <w:rPr>
                <w:color w:val="auto"/>
              </w:rPr>
              <w:t>Diretor Vice Presidente</w:t>
            </w:r>
          </w:p>
        </w:tc>
      </w:tr>
    </w:tbl>
    <w:p w:rsidR="00B20284" w:rsidRPr="006667C2" w:rsidRDefault="00B20284" w:rsidP="006667C2">
      <w:pPr>
        <w:pStyle w:val="Default"/>
        <w:ind w:left="1134" w:right="-1"/>
        <w:jc w:val="center"/>
        <w:rPr>
          <w:color w:val="auto"/>
        </w:rPr>
      </w:pPr>
    </w:p>
    <w:p w:rsidR="00B20284" w:rsidRPr="006667C2" w:rsidRDefault="00B20284" w:rsidP="006667C2">
      <w:pPr>
        <w:pStyle w:val="Default"/>
        <w:ind w:left="1134" w:right="-1"/>
        <w:jc w:val="center"/>
        <w:rPr>
          <w:color w:val="auto"/>
        </w:rPr>
      </w:pPr>
    </w:p>
    <w:p w:rsidR="004D2C57" w:rsidRPr="006667C2" w:rsidRDefault="004D2C57" w:rsidP="006667C2">
      <w:pPr>
        <w:ind w:left="1134" w:right="-1"/>
        <w:rPr>
          <w:sz w:val="24"/>
          <w:szCs w:val="24"/>
        </w:rPr>
      </w:pPr>
    </w:p>
    <w:sectPr w:rsidR="004D2C57" w:rsidRPr="006667C2" w:rsidSect="00B46164">
      <w:headerReference w:type="default" r:id="rId8"/>
      <w:footerReference w:type="default" r:id="rId9"/>
      <w:pgSz w:w="11906" w:h="16838"/>
      <w:pgMar w:top="1417" w:right="1701" w:bottom="1417" w:left="567"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216" w:rsidRDefault="00BB0216" w:rsidP="00E27284">
      <w:pPr>
        <w:spacing w:after="0" w:line="240" w:lineRule="auto"/>
      </w:pPr>
      <w:r>
        <w:separator/>
      </w:r>
    </w:p>
  </w:endnote>
  <w:endnote w:type="continuationSeparator" w:id="0">
    <w:p w:rsidR="00BB0216" w:rsidRDefault="00BB0216" w:rsidP="00E2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F2" w:rsidRPr="006902D7" w:rsidRDefault="00395FF2" w:rsidP="0032090E">
    <w:pPr>
      <w:pStyle w:val="Rodap"/>
      <w:jc w:val="center"/>
      <w:rPr>
        <w:sz w:val="18"/>
        <w:szCs w:val="18"/>
      </w:rPr>
    </w:pPr>
  </w:p>
  <w:p w:rsidR="0032090E" w:rsidRDefault="0032090E" w:rsidP="0032090E">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216" w:rsidRDefault="00BB0216" w:rsidP="00E27284">
      <w:pPr>
        <w:spacing w:after="0" w:line="240" w:lineRule="auto"/>
      </w:pPr>
      <w:r>
        <w:separator/>
      </w:r>
    </w:p>
  </w:footnote>
  <w:footnote w:type="continuationSeparator" w:id="0">
    <w:p w:rsidR="00BB0216" w:rsidRDefault="00BB0216" w:rsidP="00E27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7B" w:rsidRDefault="00335E7B" w:rsidP="00E27284">
    <w:pPr>
      <w:pStyle w:val="TextosemFormatao"/>
      <w:jc w:val="center"/>
      <w:rPr>
        <w:rFonts w:ascii="Times New Roman" w:hAnsi="Times New Roman"/>
        <w:sz w:val="28"/>
        <w:szCs w:val="28"/>
        <w:u w:val="single"/>
        <w:lang w:val="pt-BR"/>
      </w:rPr>
    </w:pPr>
  </w:p>
  <w:p w:rsidR="00335E7B" w:rsidRDefault="00335E7B" w:rsidP="00E27284">
    <w:pPr>
      <w:jc w:val="center"/>
      <w:rPr>
        <w:rFonts w:ascii="Calibri" w:hAnsi="Calibri" w:cs="Calibri"/>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3040A"/>
    <w:multiLevelType w:val="hybridMultilevel"/>
    <w:tmpl w:val="247C1886"/>
    <w:lvl w:ilvl="0" w:tplc="5E009BDE">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548670D2"/>
    <w:multiLevelType w:val="multilevel"/>
    <w:tmpl w:val="CC7C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F95797"/>
    <w:multiLevelType w:val="multilevel"/>
    <w:tmpl w:val="063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84587F"/>
    <w:multiLevelType w:val="hybridMultilevel"/>
    <w:tmpl w:val="1794CA86"/>
    <w:lvl w:ilvl="0" w:tplc="CDBE951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nsid w:val="70554C1A"/>
    <w:multiLevelType w:val="hybridMultilevel"/>
    <w:tmpl w:val="87C631C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84"/>
    <w:rsid w:val="00012BC7"/>
    <w:rsid w:val="00055307"/>
    <w:rsid w:val="00066A01"/>
    <w:rsid w:val="000717BA"/>
    <w:rsid w:val="000A47A3"/>
    <w:rsid w:val="000C13F9"/>
    <w:rsid w:val="000C293E"/>
    <w:rsid w:val="001757DD"/>
    <w:rsid w:val="00195B42"/>
    <w:rsid w:val="001B6610"/>
    <w:rsid w:val="00201167"/>
    <w:rsid w:val="002065B7"/>
    <w:rsid w:val="00231F1D"/>
    <w:rsid w:val="00305F71"/>
    <w:rsid w:val="00314FCE"/>
    <w:rsid w:val="0032090E"/>
    <w:rsid w:val="00323AFB"/>
    <w:rsid w:val="00335E7B"/>
    <w:rsid w:val="00395FF2"/>
    <w:rsid w:val="003A3D71"/>
    <w:rsid w:val="003C2839"/>
    <w:rsid w:val="00406C35"/>
    <w:rsid w:val="00433011"/>
    <w:rsid w:val="00486E87"/>
    <w:rsid w:val="00494B23"/>
    <w:rsid w:val="004C22BB"/>
    <w:rsid w:val="004D2C57"/>
    <w:rsid w:val="00561B5D"/>
    <w:rsid w:val="005647CB"/>
    <w:rsid w:val="005D58F7"/>
    <w:rsid w:val="0063540C"/>
    <w:rsid w:val="00662650"/>
    <w:rsid w:val="006667C2"/>
    <w:rsid w:val="00672076"/>
    <w:rsid w:val="0067558E"/>
    <w:rsid w:val="0068337A"/>
    <w:rsid w:val="006902D7"/>
    <w:rsid w:val="006952CD"/>
    <w:rsid w:val="006A01F9"/>
    <w:rsid w:val="006A6E76"/>
    <w:rsid w:val="006C312C"/>
    <w:rsid w:val="006C7086"/>
    <w:rsid w:val="006E44E4"/>
    <w:rsid w:val="006E5A85"/>
    <w:rsid w:val="00753340"/>
    <w:rsid w:val="007802CD"/>
    <w:rsid w:val="0079680A"/>
    <w:rsid w:val="007B0997"/>
    <w:rsid w:val="007C3C38"/>
    <w:rsid w:val="007F5B77"/>
    <w:rsid w:val="00824124"/>
    <w:rsid w:val="00824B5F"/>
    <w:rsid w:val="00831015"/>
    <w:rsid w:val="00843280"/>
    <w:rsid w:val="00847DBE"/>
    <w:rsid w:val="008563C1"/>
    <w:rsid w:val="008839D0"/>
    <w:rsid w:val="008866F0"/>
    <w:rsid w:val="0088786E"/>
    <w:rsid w:val="00890F2A"/>
    <w:rsid w:val="008C6522"/>
    <w:rsid w:val="008E0749"/>
    <w:rsid w:val="008E3557"/>
    <w:rsid w:val="008E3BE3"/>
    <w:rsid w:val="00915899"/>
    <w:rsid w:val="009267CE"/>
    <w:rsid w:val="00953D82"/>
    <w:rsid w:val="00992727"/>
    <w:rsid w:val="009E17EE"/>
    <w:rsid w:val="009F7F2F"/>
    <w:rsid w:val="00A2381C"/>
    <w:rsid w:val="00A44788"/>
    <w:rsid w:val="00A51BA3"/>
    <w:rsid w:val="00A730F1"/>
    <w:rsid w:val="00AA4568"/>
    <w:rsid w:val="00AB6459"/>
    <w:rsid w:val="00AC1BF7"/>
    <w:rsid w:val="00B20284"/>
    <w:rsid w:val="00B27144"/>
    <w:rsid w:val="00B37C00"/>
    <w:rsid w:val="00B46164"/>
    <w:rsid w:val="00B65400"/>
    <w:rsid w:val="00B6670A"/>
    <w:rsid w:val="00B713D6"/>
    <w:rsid w:val="00B90AD4"/>
    <w:rsid w:val="00B93347"/>
    <w:rsid w:val="00BA43C4"/>
    <w:rsid w:val="00BB0216"/>
    <w:rsid w:val="00BE31EC"/>
    <w:rsid w:val="00CA22EE"/>
    <w:rsid w:val="00CA320D"/>
    <w:rsid w:val="00CA757B"/>
    <w:rsid w:val="00CD0609"/>
    <w:rsid w:val="00CD1BCA"/>
    <w:rsid w:val="00CE53FD"/>
    <w:rsid w:val="00D35BB9"/>
    <w:rsid w:val="00D672A3"/>
    <w:rsid w:val="00D75D13"/>
    <w:rsid w:val="00D86A3A"/>
    <w:rsid w:val="00D90F89"/>
    <w:rsid w:val="00DB62BF"/>
    <w:rsid w:val="00DD3A80"/>
    <w:rsid w:val="00E27284"/>
    <w:rsid w:val="00E32F38"/>
    <w:rsid w:val="00E57E20"/>
    <w:rsid w:val="00EB11EB"/>
    <w:rsid w:val="00EB4633"/>
    <w:rsid w:val="00EC4EDE"/>
    <w:rsid w:val="00EE4052"/>
    <w:rsid w:val="00EF6EC6"/>
    <w:rsid w:val="00F118F9"/>
    <w:rsid w:val="00F751CF"/>
    <w:rsid w:val="00F84732"/>
    <w:rsid w:val="00FB77DD"/>
    <w:rsid w:val="00FE12A2"/>
    <w:rsid w:val="00FE68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E7B"/>
  </w:style>
  <w:style w:type="paragraph" w:styleId="Ttulo1">
    <w:name w:val="heading 1"/>
    <w:basedOn w:val="Normal"/>
    <w:link w:val="Ttulo1Char"/>
    <w:uiPriority w:val="9"/>
    <w:qFormat/>
    <w:rsid w:val="007968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72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7284"/>
  </w:style>
  <w:style w:type="paragraph" w:styleId="Rodap">
    <w:name w:val="footer"/>
    <w:basedOn w:val="Normal"/>
    <w:link w:val="RodapChar"/>
    <w:uiPriority w:val="99"/>
    <w:unhideWhenUsed/>
    <w:rsid w:val="00E27284"/>
    <w:pPr>
      <w:tabs>
        <w:tab w:val="center" w:pos="4252"/>
        <w:tab w:val="right" w:pos="8504"/>
      </w:tabs>
      <w:spacing w:after="0" w:line="240" w:lineRule="auto"/>
    </w:pPr>
  </w:style>
  <w:style w:type="character" w:customStyle="1" w:styleId="RodapChar">
    <w:name w:val="Rodapé Char"/>
    <w:basedOn w:val="Fontepargpadro"/>
    <w:link w:val="Rodap"/>
    <w:uiPriority w:val="99"/>
    <w:rsid w:val="00E27284"/>
  </w:style>
  <w:style w:type="paragraph" w:styleId="TextosemFormatao">
    <w:name w:val="Plain Text"/>
    <w:basedOn w:val="Normal"/>
    <w:link w:val="TextosemFormataoChar"/>
    <w:rsid w:val="00E27284"/>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E27284"/>
    <w:rPr>
      <w:rFonts w:ascii="Courier New" w:eastAsia="Times New Roman" w:hAnsi="Courier New" w:cs="Times New Roman"/>
      <w:sz w:val="20"/>
      <w:szCs w:val="20"/>
      <w:lang w:val="x-none" w:eastAsia="x-none"/>
    </w:rPr>
  </w:style>
  <w:style w:type="paragraph" w:customStyle="1" w:styleId="Default">
    <w:name w:val="Default"/>
    <w:rsid w:val="00335E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6">
    <w:name w:val="CM16"/>
    <w:basedOn w:val="Default"/>
    <w:next w:val="Default"/>
    <w:uiPriority w:val="99"/>
    <w:rsid w:val="00335E7B"/>
    <w:rPr>
      <w:color w:val="auto"/>
    </w:rPr>
  </w:style>
  <w:style w:type="paragraph" w:customStyle="1" w:styleId="CM1">
    <w:name w:val="CM1"/>
    <w:basedOn w:val="Default"/>
    <w:next w:val="Default"/>
    <w:uiPriority w:val="99"/>
    <w:rsid w:val="00CA22EE"/>
    <w:pPr>
      <w:spacing w:line="240" w:lineRule="atLeast"/>
    </w:pPr>
    <w:rPr>
      <w:color w:val="auto"/>
    </w:rPr>
  </w:style>
  <w:style w:type="paragraph" w:customStyle="1" w:styleId="CM4">
    <w:name w:val="CM4"/>
    <w:basedOn w:val="Default"/>
    <w:next w:val="Default"/>
    <w:uiPriority w:val="99"/>
    <w:rsid w:val="00CA22EE"/>
    <w:rPr>
      <w:color w:val="auto"/>
    </w:rPr>
  </w:style>
  <w:style w:type="character" w:customStyle="1" w:styleId="Ttulo1Char">
    <w:name w:val="Título 1 Char"/>
    <w:basedOn w:val="Fontepargpadro"/>
    <w:link w:val="Ttulo1"/>
    <w:uiPriority w:val="9"/>
    <w:rsid w:val="0079680A"/>
    <w:rPr>
      <w:rFonts w:ascii="Times New Roman" w:eastAsia="Times New Roman" w:hAnsi="Times New Roman" w:cs="Times New Roman"/>
      <w:b/>
      <w:bCs/>
      <w:kern w:val="36"/>
      <w:sz w:val="48"/>
      <w:szCs w:val="48"/>
      <w:lang w:eastAsia="pt-BR"/>
    </w:rPr>
  </w:style>
  <w:style w:type="character" w:customStyle="1" w:styleId="Data1">
    <w:name w:val="Data1"/>
    <w:basedOn w:val="Fontepargpadro"/>
    <w:rsid w:val="0079680A"/>
  </w:style>
  <w:style w:type="character" w:customStyle="1" w:styleId="time">
    <w:name w:val="time"/>
    <w:basedOn w:val="Fontepargpadro"/>
    <w:rsid w:val="0079680A"/>
  </w:style>
  <w:style w:type="character" w:styleId="Hyperlink">
    <w:name w:val="Hyperlink"/>
    <w:basedOn w:val="Fontepargpadro"/>
    <w:uiPriority w:val="99"/>
    <w:semiHidden/>
    <w:unhideWhenUsed/>
    <w:rsid w:val="0079680A"/>
    <w:rPr>
      <w:color w:val="0000FF"/>
      <w:u w:val="single"/>
    </w:rPr>
  </w:style>
  <w:style w:type="character" w:customStyle="1" w:styleId="cat">
    <w:name w:val="cat"/>
    <w:basedOn w:val="Fontepargpadro"/>
    <w:rsid w:val="0079680A"/>
  </w:style>
  <w:style w:type="paragraph" w:styleId="NormalWeb">
    <w:name w:val="Normal (Web)"/>
    <w:basedOn w:val="Normal"/>
    <w:uiPriority w:val="99"/>
    <w:unhideWhenUsed/>
    <w:rsid w:val="007968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p-caption-text">
    <w:name w:val="wp-caption-text"/>
    <w:basedOn w:val="Normal"/>
    <w:rsid w:val="00B461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46164"/>
    <w:rPr>
      <w:b/>
      <w:bCs/>
    </w:rPr>
  </w:style>
  <w:style w:type="paragraph" w:styleId="Textodebalo">
    <w:name w:val="Balloon Text"/>
    <w:basedOn w:val="Normal"/>
    <w:link w:val="TextodebaloChar"/>
    <w:uiPriority w:val="99"/>
    <w:semiHidden/>
    <w:unhideWhenUsed/>
    <w:rsid w:val="00B461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6164"/>
    <w:rPr>
      <w:rFonts w:ascii="Tahoma" w:hAnsi="Tahoma" w:cs="Tahoma"/>
      <w:sz w:val="16"/>
      <w:szCs w:val="16"/>
    </w:rPr>
  </w:style>
  <w:style w:type="paragraph" w:styleId="PargrafodaLista">
    <w:name w:val="List Paragraph"/>
    <w:basedOn w:val="Normal"/>
    <w:uiPriority w:val="34"/>
    <w:qFormat/>
    <w:rsid w:val="00195B42"/>
    <w:pPr>
      <w:ind w:left="720"/>
      <w:contextualSpacing/>
    </w:pPr>
  </w:style>
  <w:style w:type="table" w:styleId="Tabelacomgrade">
    <w:name w:val="Table Grid"/>
    <w:basedOn w:val="Tabelanormal"/>
    <w:uiPriority w:val="59"/>
    <w:rsid w:val="00B2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E7B"/>
  </w:style>
  <w:style w:type="paragraph" w:styleId="Ttulo1">
    <w:name w:val="heading 1"/>
    <w:basedOn w:val="Normal"/>
    <w:link w:val="Ttulo1Char"/>
    <w:uiPriority w:val="9"/>
    <w:qFormat/>
    <w:rsid w:val="007968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72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7284"/>
  </w:style>
  <w:style w:type="paragraph" w:styleId="Rodap">
    <w:name w:val="footer"/>
    <w:basedOn w:val="Normal"/>
    <w:link w:val="RodapChar"/>
    <w:uiPriority w:val="99"/>
    <w:unhideWhenUsed/>
    <w:rsid w:val="00E27284"/>
    <w:pPr>
      <w:tabs>
        <w:tab w:val="center" w:pos="4252"/>
        <w:tab w:val="right" w:pos="8504"/>
      </w:tabs>
      <w:spacing w:after="0" w:line="240" w:lineRule="auto"/>
    </w:pPr>
  </w:style>
  <w:style w:type="character" w:customStyle="1" w:styleId="RodapChar">
    <w:name w:val="Rodapé Char"/>
    <w:basedOn w:val="Fontepargpadro"/>
    <w:link w:val="Rodap"/>
    <w:uiPriority w:val="99"/>
    <w:rsid w:val="00E27284"/>
  </w:style>
  <w:style w:type="paragraph" w:styleId="TextosemFormatao">
    <w:name w:val="Plain Text"/>
    <w:basedOn w:val="Normal"/>
    <w:link w:val="TextosemFormataoChar"/>
    <w:rsid w:val="00E27284"/>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E27284"/>
    <w:rPr>
      <w:rFonts w:ascii="Courier New" w:eastAsia="Times New Roman" w:hAnsi="Courier New" w:cs="Times New Roman"/>
      <w:sz w:val="20"/>
      <w:szCs w:val="20"/>
      <w:lang w:val="x-none" w:eastAsia="x-none"/>
    </w:rPr>
  </w:style>
  <w:style w:type="paragraph" w:customStyle="1" w:styleId="Default">
    <w:name w:val="Default"/>
    <w:rsid w:val="00335E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6">
    <w:name w:val="CM16"/>
    <w:basedOn w:val="Default"/>
    <w:next w:val="Default"/>
    <w:uiPriority w:val="99"/>
    <w:rsid w:val="00335E7B"/>
    <w:rPr>
      <w:color w:val="auto"/>
    </w:rPr>
  </w:style>
  <w:style w:type="paragraph" w:customStyle="1" w:styleId="CM1">
    <w:name w:val="CM1"/>
    <w:basedOn w:val="Default"/>
    <w:next w:val="Default"/>
    <w:uiPriority w:val="99"/>
    <w:rsid w:val="00CA22EE"/>
    <w:pPr>
      <w:spacing w:line="240" w:lineRule="atLeast"/>
    </w:pPr>
    <w:rPr>
      <w:color w:val="auto"/>
    </w:rPr>
  </w:style>
  <w:style w:type="paragraph" w:customStyle="1" w:styleId="CM4">
    <w:name w:val="CM4"/>
    <w:basedOn w:val="Default"/>
    <w:next w:val="Default"/>
    <w:uiPriority w:val="99"/>
    <w:rsid w:val="00CA22EE"/>
    <w:rPr>
      <w:color w:val="auto"/>
    </w:rPr>
  </w:style>
  <w:style w:type="character" w:customStyle="1" w:styleId="Ttulo1Char">
    <w:name w:val="Título 1 Char"/>
    <w:basedOn w:val="Fontepargpadro"/>
    <w:link w:val="Ttulo1"/>
    <w:uiPriority w:val="9"/>
    <w:rsid w:val="0079680A"/>
    <w:rPr>
      <w:rFonts w:ascii="Times New Roman" w:eastAsia="Times New Roman" w:hAnsi="Times New Roman" w:cs="Times New Roman"/>
      <w:b/>
      <w:bCs/>
      <w:kern w:val="36"/>
      <w:sz w:val="48"/>
      <w:szCs w:val="48"/>
      <w:lang w:eastAsia="pt-BR"/>
    </w:rPr>
  </w:style>
  <w:style w:type="character" w:customStyle="1" w:styleId="Data1">
    <w:name w:val="Data1"/>
    <w:basedOn w:val="Fontepargpadro"/>
    <w:rsid w:val="0079680A"/>
  </w:style>
  <w:style w:type="character" w:customStyle="1" w:styleId="time">
    <w:name w:val="time"/>
    <w:basedOn w:val="Fontepargpadro"/>
    <w:rsid w:val="0079680A"/>
  </w:style>
  <w:style w:type="character" w:styleId="Hyperlink">
    <w:name w:val="Hyperlink"/>
    <w:basedOn w:val="Fontepargpadro"/>
    <w:uiPriority w:val="99"/>
    <w:semiHidden/>
    <w:unhideWhenUsed/>
    <w:rsid w:val="0079680A"/>
    <w:rPr>
      <w:color w:val="0000FF"/>
      <w:u w:val="single"/>
    </w:rPr>
  </w:style>
  <w:style w:type="character" w:customStyle="1" w:styleId="cat">
    <w:name w:val="cat"/>
    <w:basedOn w:val="Fontepargpadro"/>
    <w:rsid w:val="0079680A"/>
  </w:style>
  <w:style w:type="paragraph" w:styleId="NormalWeb">
    <w:name w:val="Normal (Web)"/>
    <w:basedOn w:val="Normal"/>
    <w:uiPriority w:val="99"/>
    <w:unhideWhenUsed/>
    <w:rsid w:val="007968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p-caption-text">
    <w:name w:val="wp-caption-text"/>
    <w:basedOn w:val="Normal"/>
    <w:rsid w:val="00B461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46164"/>
    <w:rPr>
      <w:b/>
      <w:bCs/>
    </w:rPr>
  </w:style>
  <w:style w:type="paragraph" w:styleId="Textodebalo">
    <w:name w:val="Balloon Text"/>
    <w:basedOn w:val="Normal"/>
    <w:link w:val="TextodebaloChar"/>
    <w:uiPriority w:val="99"/>
    <w:semiHidden/>
    <w:unhideWhenUsed/>
    <w:rsid w:val="00B461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6164"/>
    <w:rPr>
      <w:rFonts w:ascii="Tahoma" w:hAnsi="Tahoma" w:cs="Tahoma"/>
      <w:sz w:val="16"/>
      <w:szCs w:val="16"/>
    </w:rPr>
  </w:style>
  <w:style w:type="paragraph" w:styleId="PargrafodaLista">
    <w:name w:val="List Paragraph"/>
    <w:basedOn w:val="Normal"/>
    <w:uiPriority w:val="34"/>
    <w:qFormat/>
    <w:rsid w:val="00195B42"/>
    <w:pPr>
      <w:ind w:left="720"/>
      <w:contextualSpacing/>
    </w:pPr>
  </w:style>
  <w:style w:type="table" w:styleId="Tabelacomgrade">
    <w:name w:val="Table Grid"/>
    <w:basedOn w:val="Tabelanormal"/>
    <w:uiPriority w:val="59"/>
    <w:rsid w:val="00B2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1179">
      <w:bodyDiv w:val="1"/>
      <w:marLeft w:val="0"/>
      <w:marRight w:val="0"/>
      <w:marTop w:val="0"/>
      <w:marBottom w:val="0"/>
      <w:divBdr>
        <w:top w:val="none" w:sz="0" w:space="0" w:color="auto"/>
        <w:left w:val="none" w:sz="0" w:space="0" w:color="auto"/>
        <w:bottom w:val="none" w:sz="0" w:space="0" w:color="auto"/>
        <w:right w:val="none" w:sz="0" w:space="0" w:color="auto"/>
      </w:divBdr>
    </w:div>
    <w:div w:id="1057319423">
      <w:bodyDiv w:val="1"/>
      <w:marLeft w:val="0"/>
      <w:marRight w:val="0"/>
      <w:marTop w:val="0"/>
      <w:marBottom w:val="0"/>
      <w:divBdr>
        <w:top w:val="none" w:sz="0" w:space="0" w:color="auto"/>
        <w:left w:val="none" w:sz="0" w:space="0" w:color="auto"/>
        <w:bottom w:val="none" w:sz="0" w:space="0" w:color="auto"/>
        <w:right w:val="none" w:sz="0" w:space="0" w:color="auto"/>
      </w:divBdr>
      <w:divsChild>
        <w:div w:id="10227846">
          <w:marLeft w:val="0"/>
          <w:marRight w:val="0"/>
          <w:marTop w:val="0"/>
          <w:marBottom w:val="0"/>
          <w:divBdr>
            <w:top w:val="none" w:sz="0" w:space="0" w:color="auto"/>
            <w:left w:val="none" w:sz="0" w:space="0" w:color="auto"/>
            <w:bottom w:val="none" w:sz="0" w:space="0" w:color="auto"/>
            <w:right w:val="none" w:sz="0" w:space="0" w:color="auto"/>
          </w:divBdr>
        </w:div>
        <w:div w:id="1848787728">
          <w:marLeft w:val="0"/>
          <w:marRight w:val="0"/>
          <w:marTop w:val="0"/>
          <w:marBottom w:val="0"/>
          <w:divBdr>
            <w:top w:val="none" w:sz="0" w:space="0" w:color="auto"/>
            <w:left w:val="none" w:sz="0" w:space="0" w:color="auto"/>
            <w:bottom w:val="none" w:sz="0" w:space="0" w:color="auto"/>
            <w:right w:val="none" w:sz="0" w:space="0" w:color="auto"/>
          </w:divBdr>
        </w:div>
        <w:div w:id="1678800403">
          <w:marLeft w:val="0"/>
          <w:marRight w:val="0"/>
          <w:marTop w:val="0"/>
          <w:marBottom w:val="0"/>
          <w:divBdr>
            <w:top w:val="none" w:sz="0" w:space="0" w:color="auto"/>
            <w:left w:val="none" w:sz="0" w:space="0" w:color="auto"/>
            <w:bottom w:val="none" w:sz="0" w:space="0" w:color="auto"/>
            <w:right w:val="none" w:sz="0" w:space="0" w:color="auto"/>
          </w:divBdr>
        </w:div>
        <w:div w:id="1429809761">
          <w:marLeft w:val="0"/>
          <w:marRight w:val="0"/>
          <w:marTop w:val="0"/>
          <w:marBottom w:val="0"/>
          <w:divBdr>
            <w:top w:val="none" w:sz="0" w:space="0" w:color="auto"/>
            <w:left w:val="none" w:sz="0" w:space="0" w:color="auto"/>
            <w:bottom w:val="none" w:sz="0" w:space="0" w:color="auto"/>
            <w:right w:val="none" w:sz="0" w:space="0" w:color="auto"/>
          </w:divBdr>
        </w:div>
        <w:div w:id="1299411340">
          <w:marLeft w:val="0"/>
          <w:marRight w:val="0"/>
          <w:marTop w:val="0"/>
          <w:marBottom w:val="0"/>
          <w:divBdr>
            <w:top w:val="none" w:sz="0" w:space="0" w:color="auto"/>
            <w:left w:val="none" w:sz="0" w:space="0" w:color="auto"/>
            <w:bottom w:val="none" w:sz="0" w:space="0" w:color="auto"/>
            <w:right w:val="none" w:sz="0" w:space="0" w:color="auto"/>
          </w:divBdr>
        </w:div>
        <w:div w:id="1116632442">
          <w:marLeft w:val="0"/>
          <w:marRight w:val="0"/>
          <w:marTop w:val="0"/>
          <w:marBottom w:val="0"/>
          <w:divBdr>
            <w:top w:val="none" w:sz="0" w:space="0" w:color="auto"/>
            <w:left w:val="none" w:sz="0" w:space="0" w:color="auto"/>
            <w:bottom w:val="none" w:sz="0" w:space="0" w:color="auto"/>
            <w:right w:val="none" w:sz="0" w:space="0" w:color="auto"/>
          </w:divBdr>
        </w:div>
        <w:div w:id="1736850427">
          <w:marLeft w:val="0"/>
          <w:marRight w:val="0"/>
          <w:marTop w:val="0"/>
          <w:marBottom w:val="0"/>
          <w:divBdr>
            <w:top w:val="none" w:sz="0" w:space="0" w:color="auto"/>
            <w:left w:val="none" w:sz="0" w:space="0" w:color="auto"/>
            <w:bottom w:val="none" w:sz="0" w:space="0" w:color="auto"/>
            <w:right w:val="none" w:sz="0" w:space="0" w:color="auto"/>
          </w:divBdr>
        </w:div>
        <w:div w:id="570891133">
          <w:marLeft w:val="0"/>
          <w:marRight w:val="0"/>
          <w:marTop w:val="0"/>
          <w:marBottom w:val="0"/>
          <w:divBdr>
            <w:top w:val="none" w:sz="0" w:space="0" w:color="auto"/>
            <w:left w:val="none" w:sz="0" w:space="0" w:color="auto"/>
            <w:bottom w:val="none" w:sz="0" w:space="0" w:color="auto"/>
            <w:right w:val="none" w:sz="0" w:space="0" w:color="auto"/>
          </w:divBdr>
        </w:div>
        <w:div w:id="193884464">
          <w:marLeft w:val="0"/>
          <w:marRight w:val="0"/>
          <w:marTop w:val="0"/>
          <w:marBottom w:val="0"/>
          <w:divBdr>
            <w:top w:val="none" w:sz="0" w:space="0" w:color="auto"/>
            <w:left w:val="none" w:sz="0" w:space="0" w:color="auto"/>
            <w:bottom w:val="none" w:sz="0" w:space="0" w:color="auto"/>
            <w:right w:val="none" w:sz="0" w:space="0" w:color="auto"/>
          </w:divBdr>
        </w:div>
        <w:div w:id="1880434362">
          <w:marLeft w:val="0"/>
          <w:marRight w:val="0"/>
          <w:marTop w:val="0"/>
          <w:marBottom w:val="0"/>
          <w:divBdr>
            <w:top w:val="none" w:sz="0" w:space="0" w:color="auto"/>
            <w:left w:val="none" w:sz="0" w:space="0" w:color="auto"/>
            <w:bottom w:val="none" w:sz="0" w:space="0" w:color="auto"/>
            <w:right w:val="none" w:sz="0" w:space="0" w:color="auto"/>
          </w:divBdr>
        </w:div>
        <w:div w:id="993067600">
          <w:marLeft w:val="0"/>
          <w:marRight w:val="0"/>
          <w:marTop w:val="0"/>
          <w:marBottom w:val="0"/>
          <w:divBdr>
            <w:top w:val="none" w:sz="0" w:space="0" w:color="auto"/>
            <w:left w:val="none" w:sz="0" w:space="0" w:color="auto"/>
            <w:bottom w:val="none" w:sz="0" w:space="0" w:color="auto"/>
            <w:right w:val="none" w:sz="0" w:space="0" w:color="auto"/>
          </w:divBdr>
        </w:div>
        <w:div w:id="814103464">
          <w:marLeft w:val="0"/>
          <w:marRight w:val="0"/>
          <w:marTop w:val="0"/>
          <w:marBottom w:val="0"/>
          <w:divBdr>
            <w:top w:val="none" w:sz="0" w:space="0" w:color="auto"/>
            <w:left w:val="none" w:sz="0" w:space="0" w:color="auto"/>
            <w:bottom w:val="none" w:sz="0" w:space="0" w:color="auto"/>
            <w:right w:val="none" w:sz="0" w:space="0" w:color="auto"/>
          </w:divBdr>
        </w:div>
        <w:div w:id="885605884">
          <w:marLeft w:val="0"/>
          <w:marRight w:val="0"/>
          <w:marTop w:val="0"/>
          <w:marBottom w:val="0"/>
          <w:divBdr>
            <w:top w:val="none" w:sz="0" w:space="0" w:color="auto"/>
            <w:left w:val="none" w:sz="0" w:space="0" w:color="auto"/>
            <w:bottom w:val="none" w:sz="0" w:space="0" w:color="auto"/>
            <w:right w:val="none" w:sz="0" w:space="0" w:color="auto"/>
          </w:divBdr>
        </w:div>
      </w:divsChild>
    </w:div>
    <w:div w:id="1914732187">
      <w:bodyDiv w:val="1"/>
      <w:marLeft w:val="0"/>
      <w:marRight w:val="0"/>
      <w:marTop w:val="0"/>
      <w:marBottom w:val="0"/>
      <w:divBdr>
        <w:top w:val="none" w:sz="0" w:space="0" w:color="auto"/>
        <w:left w:val="none" w:sz="0" w:space="0" w:color="auto"/>
        <w:bottom w:val="none" w:sz="0" w:space="0" w:color="auto"/>
        <w:right w:val="none" w:sz="0" w:space="0" w:color="auto"/>
      </w:divBdr>
      <w:divsChild>
        <w:div w:id="1172527198">
          <w:marLeft w:val="0"/>
          <w:marRight w:val="0"/>
          <w:marTop w:val="0"/>
          <w:marBottom w:val="45"/>
          <w:divBdr>
            <w:top w:val="none" w:sz="0" w:space="0" w:color="auto"/>
            <w:left w:val="none" w:sz="0" w:space="0" w:color="auto"/>
            <w:bottom w:val="none" w:sz="0" w:space="0" w:color="auto"/>
            <w:right w:val="none" w:sz="0" w:space="0" w:color="auto"/>
          </w:divBdr>
        </w:div>
        <w:div w:id="700205190">
          <w:marLeft w:val="0"/>
          <w:marRight w:val="0"/>
          <w:marTop w:val="75"/>
          <w:marBottom w:val="0"/>
          <w:divBdr>
            <w:top w:val="none" w:sz="0" w:space="0" w:color="auto"/>
            <w:left w:val="none" w:sz="0" w:space="0" w:color="auto"/>
            <w:bottom w:val="none" w:sz="0" w:space="0" w:color="auto"/>
            <w:right w:val="none" w:sz="0" w:space="0" w:color="auto"/>
          </w:divBdr>
        </w:div>
        <w:div w:id="163841173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Otávio Werneck</dc:creator>
  <cp:lastModifiedBy>Usuário do Windows</cp:lastModifiedBy>
  <cp:revision>3</cp:revision>
  <dcterms:created xsi:type="dcterms:W3CDTF">2022-10-18T14:34:00Z</dcterms:created>
  <dcterms:modified xsi:type="dcterms:W3CDTF">2022-10-18T14:35:00Z</dcterms:modified>
</cp:coreProperties>
</file>